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3" w:rsidRPr="00A107BE" w:rsidRDefault="00DA4AE3" w:rsidP="00DA4AE3">
      <w:pPr>
        <w:rPr>
          <w:sz w:val="32"/>
          <w:szCs w:val="32"/>
        </w:rPr>
      </w:pPr>
    </w:p>
    <w:p w:rsidR="00AD3FDF" w:rsidRDefault="00AD3FDF" w:rsidP="00AD3FDF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Änderungsantrag</w:t>
      </w:r>
    </w:p>
    <w:p w:rsidR="00DA4AE3" w:rsidRDefault="00DA4AE3" w:rsidP="00DA4AE3">
      <w:pPr>
        <w:rPr>
          <w:b/>
          <w:sz w:val="40"/>
          <w:szCs w:val="40"/>
        </w:rPr>
      </w:pPr>
    </w:p>
    <w:p w:rsidR="005F05A0" w:rsidRPr="005F05A0" w:rsidRDefault="00DA4AE3" w:rsidP="005F05A0">
      <w:pPr>
        <w:rPr>
          <w:b/>
          <w:szCs w:val="22"/>
        </w:rPr>
      </w:pPr>
      <w:r w:rsidRPr="00825354">
        <w:rPr>
          <w:b/>
          <w:szCs w:val="22"/>
        </w:rPr>
        <w:t xml:space="preserve">der Fraktion </w:t>
      </w:r>
      <w:r w:rsidR="005F05A0" w:rsidRPr="005F05A0">
        <w:rPr>
          <w:b/>
          <w:szCs w:val="22"/>
        </w:rPr>
        <w:t>SPD,</w:t>
      </w:r>
    </w:p>
    <w:p w:rsidR="005F05A0" w:rsidRPr="005F05A0" w:rsidRDefault="005F05A0" w:rsidP="005F05A0">
      <w:pPr>
        <w:rPr>
          <w:b/>
          <w:szCs w:val="22"/>
        </w:rPr>
      </w:pPr>
      <w:r w:rsidRPr="005F05A0">
        <w:rPr>
          <w:b/>
          <w:szCs w:val="22"/>
        </w:rPr>
        <w:t>der Fraktion der CDU,</w:t>
      </w:r>
    </w:p>
    <w:p w:rsidR="005F05A0" w:rsidRPr="005F05A0" w:rsidRDefault="005F05A0" w:rsidP="005F05A0">
      <w:pPr>
        <w:rPr>
          <w:b/>
          <w:szCs w:val="22"/>
        </w:rPr>
      </w:pPr>
      <w:r w:rsidRPr="005F05A0">
        <w:rPr>
          <w:b/>
          <w:szCs w:val="22"/>
        </w:rPr>
        <w:t>der Fraktion Bündnis90/Die Grünen und</w:t>
      </w:r>
    </w:p>
    <w:p w:rsidR="005F05A0" w:rsidRDefault="005F05A0" w:rsidP="005F05A0">
      <w:pPr>
        <w:rPr>
          <w:b/>
          <w:szCs w:val="22"/>
        </w:rPr>
      </w:pPr>
      <w:r w:rsidRPr="005F05A0">
        <w:rPr>
          <w:b/>
          <w:szCs w:val="22"/>
        </w:rPr>
        <w:t>der Fraktion der FDP</w:t>
      </w:r>
    </w:p>
    <w:p w:rsidR="005F05A0" w:rsidRDefault="005F05A0" w:rsidP="005F05A0">
      <w:pPr>
        <w:rPr>
          <w:b/>
          <w:szCs w:val="22"/>
        </w:rPr>
      </w:pPr>
    </w:p>
    <w:p w:rsidR="005F05A0" w:rsidRDefault="005F05A0" w:rsidP="005F05A0">
      <w:pPr>
        <w:rPr>
          <w:b/>
          <w:szCs w:val="22"/>
        </w:rPr>
      </w:pPr>
    </w:p>
    <w:p w:rsidR="005F55EF" w:rsidRDefault="005F55EF" w:rsidP="005F05A0">
      <w:pPr>
        <w:rPr>
          <w:b/>
          <w:szCs w:val="22"/>
        </w:rPr>
      </w:pPr>
    </w:p>
    <w:p w:rsidR="005F55EF" w:rsidRPr="005F05A0" w:rsidRDefault="005F55EF" w:rsidP="005F05A0">
      <w:pPr>
        <w:rPr>
          <w:b/>
          <w:szCs w:val="22"/>
        </w:rPr>
      </w:pPr>
    </w:p>
    <w:p w:rsidR="00FE477E" w:rsidRDefault="005F05A0" w:rsidP="00FE477E">
      <w:pPr>
        <w:rPr>
          <w:b/>
          <w:sz w:val="24"/>
        </w:rPr>
      </w:pPr>
      <w:r w:rsidRPr="005F55EF">
        <w:rPr>
          <w:b/>
          <w:sz w:val="24"/>
        </w:rPr>
        <w:t>zum 11. Gesetz zur Änderung des Abgeordnetengesetzes</w:t>
      </w:r>
      <w:r w:rsidR="00FE477E">
        <w:rPr>
          <w:b/>
          <w:sz w:val="24"/>
        </w:rPr>
        <w:t xml:space="preserve">, Drs. 16/6124, </w:t>
      </w:r>
    </w:p>
    <w:p w:rsidR="001277FB" w:rsidRPr="005F55EF" w:rsidRDefault="00FE477E" w:rsidP="00FE477E">
      <w:pPr>
        <w:rPr>
          <w:b/>
          <w:sz w:val="24"/>
        </w:rPr>
      </w:pPr>
      <w:r>
        <w:rPr>
          <w:b/>
          <w:sz w:val="24"/>
        </w:rPr>
        <w:t xml:space="preserve">Gesetzentwurf der </w:t>
      </w:r>
      <w:r w:rsidRPr="00FE477E">
        <w:rPr>
          <w:b/>
          <w:sz w:val="24"/>
        </w:rPr>
        <w:t>Fraktion SPD,</w:t>
      </w:r>
      <w:r>
        <w:rPr>
          <w:b/>
          <w:sz w:val="24"/>
        </w:rPr>
        <w:t xml:space="preserve"> </w:t>
      </w:r>
      <w:r w:rsidRPr="00FE477E">
        <w:rPr>
          <w:b/>
          <w:sz w:val="24"/>
        </w:rPr>
        <w:t>der Fraktion der CDU,</w:t>
      </w:r>
      <w:r>
        <w:rPr>
          <w:b/>
          <w:sz w:val="24"/>
        </w:rPr>
        <w:t xml:space="preserve"> </w:t>
      </w:r>
      <w:r w:rsidRPr="00FE477E">
        <w:rPr>
          <w:b/>
          <w:sz w:val="24"/>
        </w:rPr>
        <w:t>der Fraktion Bün</w:t>
      </w:r>
      <w:r w:rsidRPr="00FE477E">
        <w:rPr>
          <w:b/>
          <w:sz w:val="24"/>
        </w:rPr>
        <w:t>d</w:t>
      </w:r>
      <w:r w:rsidRPr="00FE477E">
        <w:rPr>
          <w:b/>
          <w:sz w:val="24"/>
        </w:rPr>
        <w:t>nis90/Die Grünen und</w:t>
      </w:r>
      <w:r>
        <w:rPr>
          <w:b/>
          <w:sz w:val="24"/>
        </w:rPr>
        <w:t xml:space="preserve"> </w:t>
      </w:r>
      <w:r w:rsidRPr="00FE477E">
        <w:rPr>
          <w:b/>
          <w:sz w:val="24"/>
        </w:rPr>
        <w:t>der Fraktion der FDP</w:t>
      </w:r>
    </w:p>
    <w:p w:rsidR="006C3EC5" w:rsidRDefault="006C3EC5" w:rsidP="001277FB">
      <w:pPr>
        <w:rPr>
          <w:b/>
          <w:sz w:val="24"/>
        </w:rPr>
      </w:pPr>
    </w:p>
    <w:p w:rsidR="0028648A" w:rsidRDefault="0028648A" w:rsidP="001277FB">
      <w:pPr>
        <w:rPr>
          <w:b/>
          <w:sz w:val="24"/>
        </w:rPr>
      </w:pPr>
    </w:p>
    <w:p w:rsidR="00E8416D" w:rsidRDefault="00E8416D" w:rsidP="001277FB">
      <w:pPr>
        <w:rPr>
          <w:b/>
          <w:sz w:val="24"/>
        </w:rPr>
      </w:pPr>
    </w:p>
    <w:p w:rsidR="005F55EF" w:rsidRDefault="005F55EF" w:rsidP="001277FB">
      <w:pPr>
        <w:rPr>
          <w:b/>
          <w:sz w:val="24"/>
        </w:rPr>
      </w:pPr>
      <w:r>
        <w:rPr>
          <w:b/>
          <w:sz w:val="24"/>
        </w:rPr>
        <w:t>Der Gesetzentwurf wird wie folgt geändert:</w:t>
      </w:r>
    </w:p>
    <w:p w:rsidR="005F55EF" w:rsidRDefault="005F55EF" w:rsidP="001277FB">
      <w:pPr>
        <w:rPr>
          <w:b/>
          <w:sz w:val="24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708A5" w:rsidRPr="00490C49" w:rsidTr="001708A5">
        <w:tc>
          <w:tcPr>
            <w:tcW w:w="5000" w:type="pct"/>
          </w:tcPr>
          <w:p w:rsidR="001708A5" w:rsidRPr="00490C49" w:rsidRDefault="001708A5" w:rsidP="00490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Änderung</w:t>
            </w:r>
          </w:p>
        </w:tc>
      </w:tr>
      <w:tr w:rsidR="001708A5" w:rsidTr="001708A5">
        <w:tc>
          <w:tcPr>
            <w:tcW w:w="5000" w:type="pct"/>
          </w:tcPr>
          <w:p w:rsidR="001708A5" w:rsidRDefault="001708A5" w:rsidP="001277FB">
            <w:pPr>
              <w:rPr>
                <w:b/>
                <w:sz w:val="24"/>
              </w:rPr>
            </w:pPr>
          </w:p>
        </w:tc>
      </w:tr>
      <w:tr w:rsidR="001708A5" w:rsidTr="001708A5">
        <w:tc>
          <w:tcPr>
            <w:tcW w:w="5000" w:type="pct"/>
          </w:tcPr>
          <w:p w:rsidR="001708A5" w:rsidRPr="00FB052E" w:rsidRDefault="001708A5" w:rsidP="00FB052E">
            <w:pPr>
              <w:pStyle w:val="Default"/>
              <w:jc w:val="both"/>
              <w:rPr>
                <w:sz w:val="24"/>
                <w:szCs w:val="24"/>
              </w:rPr>
            </w:pPr>
            <w:r w:rsidRPr="00FB052E">
              <w:rPr>
                <w:sz w:val="24"/>
                <w:szCs w:val="24"/>
              </w:rPr>
              <w:t xml:space="preserve">1. § 16 </w:t>
            </w:r>
            <w:r>
              <w:rPr>
                <w:sz w:val="24"/>
                <w:szCs w:val="24"/>
              </w:rPr>
              <w:t xml:space="preserve">Absatz 1 erhält folgende </w:t>
            </w:r>
            <w:r w:rsidR="00B63EC2">
              <w:rPr>
                <w:sz w:val="24"/>
                <w:szCs w:val="24"/>
              </w:rPr>
              <w:t xml:space="preserve">neue </w:t>
            </w:r>
            <w:r>
              <w:rPr>
                <w:sz w:val="24"/>
                <w:szCs w:val="24"/>
              </w:rPr>
              <w:t>Fassung</w:t>
            </w:r>
            <w:r w:rsidRPr="00FB052E">
              <w:rPr>
                <w:sz w:val="24"/>
                <w:szCs w:val="24"/>
              </w:rPr>
              <w:t xml:space="preserve">: </w:t>
            </w:r>
          </w:p>
          <w:p w:rsidR="001708A5" w:rsidRPr="00490C49" w:rsidRDefault="001708A5" w:rsidP="00490C49">
            <w:pPr>
              <w:jc w:val="both"/>
              <w:rPr>
                <w:sz w:val="24"/>
              </w:rPr>
            </w:pPr>
          </w:p>
          <w:p w:rsidR="001708A5" w:rsidRPr="003A1E0C" w:rsidRDefault="001708A5" w:rsidP="00490C49">
            <w:pPr>
              <w:jc w:val="both"/>
              <w:rPr>
                <w:sz w:val="24"/>
                <w:u w:val="single"/>
              </w:rPr>
            </w:pPr>
            <w:r w:rsidRPr="00490C49">
              <w:rPr>
                <w:sz w:val="24"/>
              </w:rPr>
              <w:t>(1) Die Ausübung des Mandats steht im Mittelpunkt der Tätigkeit eines Mitglieds des Landtags. Unbeschadet dieser Verpflichtung bleiben Tätigkeiten beruflicher oder a</w:t>
            </w:r>
            <w:r w:rsidRPr="00490C49">
              <w:rPr>
                <w:sz w:val="24"/>
              </w:rPr>
              <w:t>n</w:t>
            </w:r>
            <w:r w:rsidRPr="00490C49">
              <w:rPr>
                <w:sz w:val="24"/>
              </w:rPr>
              <w:t xml:space="preserve">derer Art neben dem Mandat </w:t>
            </w:r>
            <w:r w:rsidR="00084955" w:rsidRPr="00084955">
              <w:rPr>
                <w:dstrike/>
                <w:sz w:val="24"/>
                <w:u w:val="single"/>
              </w:rPr>
              <w:t>grundsätzlich</w:t>
            </w:r>
            <w:r w:rsidR="00084955" w:rsidRPr="00084955">
              <w:rPr>
                <w:sz w:val="24"/>
              </w:rPr>
              <w:t xml:space="preserve"> </w:t>
            </w:r>
            <w:r w:rsidRPr="00490C49">
              <w:rPr>
                <w:sz w:val="24"/>
              </w:rPr>
              <w:t>zulässig.</w:t>
            </w:r>
            <w:r>
              <w:rPr>
                <w:sz w:val="24"/>
              </w:rPr>
              <w:t xml:space="preserve"> </w:t>
            </w:r>
            <w:r w:rsidRPr="003A1E0C">
              <w:rPr>
                <w:sz w:val="24"/>
                <w:u w:val="single"/>
              </w:rPr>
              <w:t>Sie können der Verwurz</w:t>
            </w:r>
            <w:r w:rsidRPr="003A1E0C">
              <w:rPr>
                <w:sz w:val="24"/>
                <w:u w:val="single"/>
              </w:rPr>
              <w:t>e</w:t>
            </w:r>
            <w:r w:rsidRPr="003A1E0C">
              <w:rPr>
                <w:sz w:val="24"/>
                <w:u w:val="single"/>
              </w:rPr>
              <w:t>lung der Landtagsmitglieder in der Gesellschaft und im Arbeitsleben Rechnung tr</w:t>
            </w:r>
            <w:r w:rsidRPr="003A1E0C">
              <w:rPr>
                <w:sz w:val="24"/>
                <w:u w:val="single"/>
              </w:rPr>
              <w:t>a</w:t>
            </w:r>
            <w:r w:rsidRPr="003A1E0C">
              <w:rPr>
                <w:sz w:val="24"/>
                <w:u w:val="single"/>
              </w:rPr>
              <w:t>gen.</w:t>
            </w:r>
          </w:p>
          <w:p w:rsidR="001708A5" w:rsidRPr="00490C49" w:rsidRDefault="001708A5" w:rsidP="00490C49">
            <w:pPr>
              <w:jc w:val="both"/>
              <w:rPr>
                <w:sz w:val="24"/>
              </w:rPr>
            </w:pPr>
          </w:p>
        </w:tc>
      </w:tr>
      <w:tr w:rsidR="001708A5" w:rsidTr="001708A5">
        <w:tc>
          <w:tcPr>
            <w:tcW w:w="5000" w:type="pct"/>
          </w:tcPr>
          <w:p w:rsidR="001708A5" w:rsidRDefault="001708A5" w:rsidP="00490C49">
            <w:pPr>
              <w:jc w:val="both"/>
              <w:rPr>
                <w:b/>
                <w:sz w:val="24"/>
              </w:rPr>
            </w:pPr>
          </w:p>
        </w:tc>
      </w:tr>
      <w:tr w:rsidR="001708A5" w:rsidTr="001708A5">
        <w:tc>
          <w:tcPr>
            <w:tcW w:w="5000" w:type="pct"/>
          </w:tcPr>
          <w:p w:rsidR="001708A5" w:rsidRPr="00FB052E" w:rsidRDefault="001708A5" w:rsidP="00FB052E">
            <w:pPr>
              <w:pStyle w:val="Default"/>
              <w:jc w:val="both"/>
              <w:rPr>
                <w:sz w:val="24"/>
                <w:szCs w:val="24"/>
              </w:rPr>
            </w:pPr>
            <w:r w:rsidRPr="00FB052E">
              <w:rPr>
                <w:sz w:val="24"/>
                <w:szCs w:val="24"/>
              </w:rPr>
              <w:t>2. In § 16a erhält Absatz 4 folgende neue Fassung:</w:t>
            </w:r>
          </w:p>
          <w:p w:rsidR="001708A5" w:rsidRPr="00FB052E" w:rsidRDefault="001708A5" w:rsidP="00490C49">
            <w:pPr>
              <w:jc w:val="both"/>
              <w:rPr>
                <w:sz w:val="24"/>
                <w:szCs w:val="24"/>
              </w:rPr>
            </w:pPr>
          </w:p>
          <w:p w:rsidR="001708A5" w:rsidRPr="00FB052E" w:rsidRDefault="001708A5" w:rsidP="00490C49">
            <w:pPr>
              <w:jc w:val="both"/>
              <w:rPr>
                <w:sz w:val="24"/>
                <w:szCs w:val="24"/>
              </w:rPr>
            </w:pPr>
            <w:r w:rsidRPr="00FB052E">
              <w:rPr>
                <w:sz w:val="24"/>
                <w:szCs w:val="24"/>
              </w:rPr>
              <w:t>(4) Die Mitglieder des Landtags sind zusätzlich verpflichtet, die Tätigkeiten im Sinne des Absatzes 2 auch aus der Zeit vor der Mitgliedschaft im Landtag anzuzeigen, s</w:t>
            </w:r>
            <w:r w:rsidRPr="00FB052E">
              <w:rPr>
                <w:sz w:val="24"/>
                <w:szCs w:val="24"/>
              </w:rPr>
              <w:t>o</w:t>
            </w:r>
            <w:r w:rsidRPr="00FB052E">
              <w:rPr>
                <w:sz w:val="24"/>
                <w:szCs w:val="24"/>
              </w:rPr>
              <w:t xml:space="preserve">weit sie </w:t>
            </w:r>
            <w:r w:rsidRPr="00FB052E">
              <w:rPr>
                <w:sz w:val="24"/>
                <w:szCs w:val="24"/>
                <w:u w:val="single"/>
              </w:rPr>
              <w:t>in den letzten zwei Jahren vor der Mandatsübernahme</w:t>
            </w:r>
            <w:r w:rsidRPr="00FB052E">
              <w:rPr>
                <w:sz w:val="24"/>
                <w:szCs w:val="24"/>
              </w:rPr>
              <w:t xml:space="preserve"> aufgegeben worden sind.</w:t>
            </w:r>
          </w:p>
        </w:tc>
      </w:tr>
      <w:tr w:rsidR="001708A5" w:rsidTr="001708A5">
        <w:tc>
          <w:tcPr>
            <w:tcW w:w="5000" w:type="pct"/>
          </w:tcPr>
          <w:p w:rsidR="001708A5" w:rsidRPr="00FB052E" w:rsidRDefault="001708A5" w:rsidP="00490C4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708A5" w:rsidTr="001708A5">
        <w:tc>
          <w:tcPr>
            <w:tcW w:w="5000" w:type="pct"/>
          </w:tcPr>
          <w:p w:rsidR="001708A5" w:rsidRPr="00FB052E" w:rsidRDefault="001708A5" w:rsidP="00FB052E">
            <w:pPr>
              <w:pStyle w:val="Default"/>
              <w:jc w:val="both"/>
              <w:rPr>
                <w:sz w:val="24"/>
                <w:szCs w:val="24"/>
              </w:rPr>
            </w:pPr>
            <w:r w:rsidRPr="00FB052E">
              <w:rPr>
                <w:sz w:val="24"/>
                <w:szCs w:val="24"/>
              </w:rPr>
              <w:t>3. In § 17 erhält Absatz 8 folgende neue Fassung:</w:t>
            </w:r>
          </w:p>
          <w:p w:rsidR="001708A5" w:rsidRPr="00FB052E" w:rsidRDefault="001708A5" w:rsidP="00490C49">
            <w:pPr>
              <w:jc w:val="both"/>
              <w:rPr>
                <w:sz w:val="24"/>
                <w:szCs w:val="24"/>
              </w:rPr>
            </w:pPr>
          </w:p>
          <w:p w:rsidR="001708A5" w:rsidRPr="00FB052E" w:rsidRDefault="001708A5" w:rsidP="00490C49">
            <w:pPr>
              <w:jc w:val="both"/>
              <w:rPr>
                <w:sz w:val="24"/>
                <w:szCs w:val="24"/>
              </w:rPr>
            </w:pPr>
            <w:r w:rsidRPr="00FB052E">
              <w:rPr>
                <w:sz w:val="24"/>
                <w:szCs w:val="24"/>
              </w:rPr>
              <w:t xml:space="preserve">(8) Für Streitigkeiten gegen einen nach </w:t>
            </w:r>
            <w:r w:rsidRPr="00FB052E">
              <w:rPr>
                <w:sz w:val="24"/>
                <w:szCs w:val="24"/>
                <w:u w:val="single"/>
              </w:rPr>
              <w:t>Absatz 4 oder</w:t>
            </w:r>
            <w:r w:rsidRPr="00FB052E">
              <w:rPr>
                <w:sz w:val="24"/>
                <w:szCs w:val="24"/>
              </w:rPr>
              <w:t xml:space="preserve"> Absatz 7 erlassenen Verwa</w:t>
            </w:r>
            <w:r w:rsidRPr="00FB052E">
              <w:rPr>
                <w:sz w:val="24"/>
                <w:szCs w:val="24"/>
              </w:rPr>
              <w:t>l</w:t>
            </w:r>
            <w:r w:rsidRPr="00FB052E">
              <w:rPr>
                <w:sz w:val="24"/>
                <w:szCs w:val="24"/>
              </w:rPr>
              <w:t>tungsakt ist der Verwaltungsrechtsweg eröffnet. Zuständig ist das Gericht am Sitz des Landtags.</w:t>
            </w:r>
          </w:p>
        </w:tc>
      </w:tr>
    </w:tbl>
    <w:p w:rsidR="00E97BD1" w:rsidRDefault="00E97BD1" w:rsidP="00477A59">
      <w:pPr>
        <w:jc w:val="both"/>
        <w:rPr>
          <w:b/>
          <w:sz w:val="24"/>
        </w:rPr>
      </w:pPr>
    </w:p>
    <w:p w:rsidR="00BA4DF3" w:rsidRDefault="00BA4DF3">
      <w:pPr>
        <w:rPr>
          <w:b/>
          <w:sz w:val="24"/>
        </w:rPr>
      </w:pPr>
      <w:r>
        <w:rPr>
          <w:b/>
          <w:sz w:val="24"/>
        </w:rPr>
        <w:br w:type="page"/>
      </w:r>
    </w:p>
    <w:p w:rsidR="00950889" w:rsidRDefault="00950889" w:rsidP="00477A59">
      <w:pPr>
        <w:jc w:val="both"/>
        <w:rPr>
          <w:b/>
          <w:sz w:val="24"/>
        </w:rPr>
      </w:pPr>
      <w:r>
        <w:rPr>
          <w:b/>
          <w:sz w:val="24"/>
        </w:rPr>
        <w:lastRenderedPageBreak/>
        <w:t>Begründung</w:t>
      </w:r>
    </w:p>
    <w:p w:rsidR="00950889" w:rsidRDefault="00950889" w:rsidP="00477A59">
      <w:pPr>
        <w:jc w:val="both"/>
        <w:rPr>
          <w:b/>
          <w:sz w:val="24"/>
        </w:rPr>
      </w:pPr>
    </w:p>
    <w:p w:rsidR="00E97BD1" w:rsidRPr="00E97BD1" w:rsidRDefault="00E97BD1" w:rsidP="00E97BD1">
      <w:pPr>
        <w:jc w:val="both"/>
        <w:rPr>
          <w:sz w:val="24"/>
        </w:rPr>
      </w:pPr>
      <w:r w:rsidRPr="00E97BD1">
        <w:rPr>
          <w:sz w:val="24"/>
        </w:rPr>
        <w:t xml:space="preserve">Die vorgeschlagenen </w:t>
      </w:r>
      <w:bookmarkStart w:id="0" w:name="_GoBack"/>
      <w:bookmarkEnd w:id="0"/>
      <w:r w:rsidRPr="00E97BD1">
        <w:rPr>
          <w:sz w:val="24"/>
        </w:rPr>
        <w:t>Änderungen sind Ergebnisse der am 28. August 2014 durchg</w:t>
      </w:r>
      <w:r w:rsidRPr="00E97BD1">
        <w:rPr>
          <w:sz w:val="24"/>
        </w:rPr>
        <w:t>e</w:t>
      </w:r>
      <w:r w:rsidRPr="00E97BD1">
        <w:rPr>
          <w:sz w:val="24"/>
        </w:rPr>
        <w:t>führten Anhörung der Sachverständigen Gusy, Löwer, Zeh und Hirsch.</w:t>
      </w:r>
    </w:p>
    <w:p w:rsidR="00E97BD1" w:rsidRPr="00E97BD1" w:rsidRDefault="00E97BD1" w:rsidP="00E97BD1">
      <w:pPr>
        <w:jc w:val="both"/>
        <w:rPr>
          <w:sz w:val="24"/>
        </w:rPr>
      </w:pPr>
    </w:p>
    <w:p w:rsidR="00E97BD1" w:rsidRPr="00E97BD1" w:rsidRDefault="00E97BD1" w:rsidP="00E97BD1">
      <w:pPr>
        <w:jc w:val="both"/>
        <w:rPr>
          <w:sz w:val="24"/>
        </w:rPr>
      </w:pPr>
      <w:r w:rsidRPr="00E97BD1">
        <w:rPr>
          <w:sz w:val="24"/>
        </w:rPr>
        <w:t>Zu Nr. 1</w:t>
      </w:r>
    </w:p>
    <w:p w:rsidR="00E97BD1" w:rsidRPr="003A1E0C" w:rsidRDefault="00E97BD1" w:rsidP="00E97BD1">
      <w:pPr>
        <w:jc w:val="both"/>
        <w:rPr>
          <w:sz w:val="24"/>
        </w:rPr>
      </w:pPr>
      <w:r w:rsidRPr="00E97BD1">
        <w:rPr>
          <w:sz w:val="24"/>
        </w:rPr>
        <w:t>Damit wird der in der Begründung des Gesetzentwurfes bereits enthaltene Hinweis in den Gesetzestext übernommen und deutlich gemacht, dass eine Nebentätigkeit n</w:t>
      </w:r>
      <w:r w:rsidRPr="00E97BD1">
        <w:rPr>
          <w:sz w:val="24"/>
        </w:rPr>
        <w:t>e</w:t>
      </w:r>
      <w:r w:rsidRPr="00E97BD1">
        <w:rPr>
          <w:sz w:val="24"/>
        </w:rPr>
        <w:t xml:space="preserve">ben dem Mandat </w:t>
      </w:r>
      <w:r w:rsidRPr="003A1E0C">
        <w:rPr>
          <w:sz w:val="24"/>
        </w:rPr>
        <w:t xml:space="preserve">einen besonderen Wert und eine besondere Bedeutung </w:t>
      </w:r>
      <w:r w:rsidR="003A1E0C" w:rsidRPr="003A1E0C">
        <w:rPr>
          <w:sz w:val="24"/>
        </w:rPr>
        <w:t>haben kann</w:t>
      </w:r>
      <w:r w:rsidRPr="003A1E0C">
        <w:rPr>
          <w:sz w:val="24"/>
        </w:rPr>
        <w:t>.</w:t>
      </w:r>
    </w:p>
    <w:p w:rsidR="00E97BD1" w:rsidRPr="00E97BD1" w:rsidRDefault="00E97BD1" w:rsidP="00E97BD1">
      <w:pPr>
        <w:jc w:val="both"/>
        <w:rPr>
          <w:sz w:val="24"/>
        </w:rPr>
      </w:pPr>
    </w:p>
    <w:p w:rsidR="00E97BD1" w:rsidRPr="00E97BD1" w:rsidRDefault="00E97BD1" w:rsidP="00E97BD1">
      <w:pPr>
        <w:jc w:val="both"/>
        <w:rPr>
          <w:sz w:val="24"/>
        </w:rPr>
      </w:pPr>
      <w:r w:rsidRPr="00E97BD1">
        <w:rPr>
          <w:sz w:val="24"/>
        </w:rPr>
        <w:t>Zu Nr. 2</w:t>
      </w:r>
    </w:p>
    <w:p w:rsidR="00E97BD1" w:rsidRPr="00E97BD1" w:rsidRDefault="00E97BD1" w:rsidP="00E97BD1">
      <w:pPr>
        <w:jc w:val="both"/>
        <w:rPr>
          <w:sz w:val="24"/>
        </w:rPr>
      </w:pPr>
      <w:r w:rsidRPr="00E97BD1">
        <w:rPr>
          <w:sz w:val="24"/>
        </w:rPr>
        <w:t>Aus Gründen der Verhältnismäßigkeit und Rechtsklarheit soll eine zeitliche Begre</w:t>
      </w:r>
      <w:r w:rsidRPr="00E97BD1">
        <w:rPr>
          <w:sz w:val="24"/>
        </w:rPr>
        <w:t>n</w:t>
      </w:r>
      <w:r w:rsidRPr="00E97BD1">
        <w:rPr>
          <w:sz w:val="24"/>
        </w:rPr>
        <w:t>zung von zwei Jahren aufgenommen werden. Tätigkeiten, die vor diesem Zeitpunkt aufgegeben worden sind, werden der Anzeigepflicht nicht mehr unterworfen.</w:t>
      </w:r>
    </w:p>
    <w:p w:rsidR="00E97BD1" w:rsidRPr="00E97BD1" w:rsidRDefault="00E97BD1" w:rsidP="00E97BD1">
      <w:pPr>
        <w:jc w:val="both"/>
        <w:rPr>
          <w:sz w:val="24"/>
        </w:rPr>
      </w:pPr>
    </w:p>
    <w:p w:rsidR="00E97BD1" w:rsidRPr="00E97BD1" w:rsidRDefault="00E97BD1" w:rsidP="00E97BD1">
      <w:pPr>
        <w:jc w:val="both"/>
        <w:rPr>
          <w:sz w:val="24"/>
        </w:rPr>
      </w:pPr>
      <w:r w:rsidRPr="00E97BD1">
        <w:rPr>
          <w:sz w:val="24"/>
        </w:rPr>
        <w:t>Zu Nr. 3</w:t>
      </w:r>
    </w:p>
    <w:p w:rsidR="00E97BD1" w:rsidRPr="00E97BD1" w:rsidRDefault="00E97BD1" w:rsidP="00E97BD1">
      <w:pPr>
        <w:jc w:val="both"/>
        <w:rPr>
          <w:sz w:val="24"/>
        </w:rPr>
      </w:pPr>
      <w:r w:rsidRPr="00E97BD1">
        <w:rPr>
          <w:sz w:val="24"/>
        </w:rPr>
        <w:t>Auch gegen die Festsetzung eines Ordnungsgeldes nach § 17 Abs. 4 soll der Rechtsweg zu den Verwaltungsgerichten eröffnet werden. Damit werden Unsiche</w:t>
      </w:r>
      <w:r w:rsidRPr="00E97BD1">
        <w:rPr>
          <w:sz w:val="24"/>
        </w:rPr>
        <w:t>r</w:t>
      </w:r>
      <w:r w:rsidRPr="00E97BD1">
        <w:rPr>
          <w:sz w:val="24"/>
        </w:rPr>
        <w:t xml:space="preserve">heiten bei der Festlegung der Rechtswegzuständigkeit in diesen Fällen vermieden. </w:t>
      </w:r>
    </w:p>
    <w:p w:rsidR="00477A59" w:rsidRPr="00950889" w:rsidRDefault="00477A59" w:rsidP="00E97BD1">
      <w:pPr>
        <w:jc w:val="both"/>
        <w:rPr>
          <w:sz w:val="24"/>
        </w:rPr>
      </w:pPr>
    </w:p>
    <w:sectPr w:rsidR="00477A59" w:rsidRPr="00950889" w:rsidSect="001708A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134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31" w:rsidRDefault="00C63F31" w:rsidP="004F3971">
      <w:r>
        <w:separator/>
      </w:r>
    </w:p>
  </w:endnote>
  <w:endnote w:type="continuationSeparator" w:id="0">
    <w:p w:rsidR="00C63F31" w:rsidRDefault="00C63F31" w:rsidP="004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54124533"/>
      <w:docPartObj>
        <w:docPartGallery w:val="Page Numbers (Bottom of Page)"/>
        <w:docPartUnique/>
      </w:docPartObj>
    </w:sdtPr>
    <w:sdtEndPr/>
    <w:sdtContent>
      <w:p w:rsidR="000B4D20" w:rsidRPr="00051DEA" w:rsidRDefault="000B4D20" w:rsidP="00DD55F9">
        <w:pPr>
          <w:pStyle w:val="Fuzeile"/>
          <w:spacing w:before="240" w:after="240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1708A5">
          <w:rPr>
            <w:noProof/>
            <w:sz w:val="22"/>
            <w:szCs w:val="22"/>
          </w:rPr>
          <w:t>2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012608755"/>
      <w:docPartObj>
        <w:docPartGallery w:val="Page Numbers (Bottom of Page)"/>
        <w:docPartUnique/>
      </w:docPartObj>
    </w:sdtPr>
    <w:sdtEndPr/>
    <w:sdtContent>
      <w:p w:rsidR="00214A9A" w:rsidRPr="00051DEA" w:rsidRDefault="00214A9A" w:rsidP="00CE7EA7">
        <w:pPr>
          <w:pStyle w:val="Fuzeile"/>
          <w:spacing w:before="240" w:after="240"/>
          <w:jc w:val="right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D00F32">
          <w:rPr>
            <w:noProof/>
            <w:sz w:val="22"/>
            <w:szCs w:val="22"/>
          </w:rPr>
          <w:t>1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31" w:rsidRDefault="00C63F31" w:rsidP="004F3971">
      <w:r>
        <w:separator/>
      </w:r>
    </w:p>
  </w:footnote>
  <w:footnote w:type="continuationSeparator" w:id="0">
    <w:p w:rsidR="00C63F31" w:rsidRDefault="00C63F31" w:rsidP="004F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D0" w:rsidRDefault="00CA3DD0" w:rsidP="00F666AB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</w:t>
    </w:r>
    <w:r w:rsidR="00FE315E">
      <w:rPr>
        <w:b/>
        <w:sz w:val="18"/>
      </w:rPr>
      <w:t xml:space="preserve"> - 1</w:t>
    </w:r>
    <w:r w:rsidR="00E8416D">
      <w:rPr>
        <w:b/>
        <w:sz w:val="18"/>
      </w:rPr>
      <w:t>6</w:t>
    </w:r>
    <w:r w:rsidR="00FE315E">
      <w:rPr>
        <w:b/>
        <w:sz w:val="18"/>
      </w:rPr>
      <w:t>. Wahlperiode</w:t>
    </w:r>
    <w:r w:rsidR="00FE315E">
      <w:rPr>
        <w:b/>
        <w:sz w:val="18"/>
      </w:rPr>
      <w:tab/>
      <w:t>Drucksache 1</w:t>
    </w:r>
    <w:r w:rsidR="00E8416D">
      <w:rPr>
        <w:b/>
        <w:sz w:val="18"/>
      </w:rPr>
      <w:t>6</w:t>
    </w:r>
    <w:r>
      <w:rPr>
        <w:b/>
        <w:sz w:val="18"/>
      </w:rPr>
      <w:t>/drnr</w:t>
    </w:r>
  </w:p>
  <w:p w:rsidR="00051DEA" w:rsidRDefault="00051DEA" w:rsidP="00CA3DD0">
    <w:pPr>
      <w:pStyle w:val="Kopfzeile"/>
      <w:spacing w:before="120"/>
      <w:rPr>
        <w:b/>
        <w:sz w:val="18"/>
      </w:rPr>
    </w:pPr>
  </w:p>
  <w:p w:rsidR="00CA3DD0" w:rsidRDefault="00CA3DD0" w:rsidP="00051DEA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8BA514" wp14:editId="4448CFB9">
              <wp:simplePos x="0" y="0"/>
              <wp:positionH relativeFrom="page">
                <wp:posOffset>907415</wp:posOffset>
              </wp:positionH>
              <wp:positionV relativeFrom="page">
                <wp:posOffset>907415</wp:posOffset>
              </wp:positionV>
              <wp:extent cx="5760000" cy="0"/>
              <wp:effectExtent l="0" t="0" r="1270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A5" w:rsidRDefault="001708A5">
    <w:pPr>
      <w:pStyle w:val="Kopfzeile"/>
      <w:jc w:val="center"/>
    </w:pPr>
  </w:p>
  <w:p w:rsidR="001708A5" w:rsidRDefault="001708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49"/>
    <w:rsid w:val="00051DEA"/>
    <w:rsid w:val="00054534"/>
    <w:rsid w:val="00084955"/>
    <w:rsid w:val="0008756C"/>
    <w:rsid w:val="000B4D20"/>
    <w:rsid w:val="000D67E9"/>
    <w:rsid w:val="00107879"/>
    <w:rsid w:val="00113A1A"/>
    <w:rsid w:val="0011712A"/>
    <w:rsid w:val="001277FB"/>
    <w:rsid w:val="00147F05"/>
    <w:rsid w:val="00153DA3"/>
    <w:rsid w:val="001708A5"/>
    <w:rsid w:val="001715A5"/>
    <w:rsid w:val="00184ED9"/>
    <w:rsid w:val="001B49CE"/>
    <w:rsid w:val="00214A9A"/>
    <w:rsid w:val="00224ACD"/>
    <w:rsid w:val="002266C4"/>
    <w:rsid w:val="002668E0"/>
    <w:rsid w:val="0028648A"/>
    <w:rsid w:val="00290039"/>
    <w:rsid w:val="002A1401"/>
    <w:rsid w:val="002B554B"/>
    <w:rsid w:val="002D3D20"/>
    <w:rsid w:val="002F114F"/>
    <w:rsid w:val="00343254"/>
    <w:rsid w:val="00353C62"/>
    <w:rsid w:val="00361AFE"/>
    <w:rsid w:val="00363D26"/>
    <w:rsid w:val="0037088C"/>
    <w:rsid w:val="0038716B"/>
    <w:rsid w:val="003A15BB"/>
    <w:rsid w:val="003A1E0C"/>
    <w:rsid w:val="003D5A33"/>
    <w:rsid w:val="00412B59"/>
    <w:rsid w:val="00416994"/>
    <w:rsid w:val="00443043"/>
    <w:rsid w:val="004617FD"/>
    <w:rsid w:val="00477A59"/>
    <w:rsid w:val="00490C49"/>
    <w:rsid w:val="00496660"/>
    <w:rsid w:val="004F3971"/>
    <w:rsid w:val="005078C6"/>
    <w:rsid w:val="005C15C6"/>
    <w:rsid w:val="005F05A0"/>
    <w:rsid w:val="005F55EF"/>
    <w:rsid w:val="00630582"/>
    <w:rsid w:val="006C3EC5"/>
    <w:rsid w:val="007161B0"/>
    <w:rsid w:val="0072206D"/>
    <w:rsid w:val="00724A07"/>
    <w:rsid w:val="007758E6"/>
    <w:rsid w:val="007C149D"/>
    <w:rsid w:val="007E5B9F"/>
    <w:rsid w:val="00825354"/>
    <w:rsid w:val="008E6617"/>
    <w:rsid w:val="0093027E"/>
    <w:rsid w:val="00936988"/>
    <w:rsid w:val="00950889"/>
    <w:rsid w:val="00995435"/>
    <w:rsid w:val="009D403B"/>
    <w:rsid w:val="009F430D"/>
    <w:rsid w:val="00A107BE"/>
    <w:rsid w:val="00A42AD9"/>
    <w:rsid w:val="00A72A33"/>
    <w:rsid w:val="00AD3FDF"/>
    <w:rsid w:val="00B13240"/>
    <w:rsid w:val="00B22F1E"/>
    <w:rsid w:val="00B55DA6"/>
    <w:rsid w:val="00B63EC2"/>
    <w:rsid w:val="00B66305"/>
    <w:rsid w:val="00B87632"/>
    <w:rsid w:val="00BA4DF3"/>
    <w:rsid w:val="00BB6D77"/>
    <w:rsid w:val="00BF6354"/>
    <w:rsid w:val="00C06FE2"/>
    <w:rsid w:val="00C2623C"/>
    <w:rsid w:val="00C274D9"/>
    <w:rsid w:val="00C63F31"/>
    <w:rsid w:val="00C65952"/>
    <w:rsid w:val="00C7039D"/>
    <w:rsid w:val="00C73FF7"/>
    <w:rsid w:val="00C96EBE"/>
    <w:rsid w:val="00CA3DD0"/>
    <w:rsid w:val="00CB70DF"/>
    <w:rsid w:val="00CE7EA7"/>
    <w:rsid w:val="00D00F32"/>
    <w:rsid w:val="00DA4AE3"/>
    <w:rsid w:val="00DC061B"/>
    <w:rsid w:val="00DD55F9"/>
    <w:rsid w:val="00E359FE"/>
    <w:rsid w:val="00E83F49"/>
    <w:rsid w:val="00E8416D"/>
    <w:rsid w:val="00E9452F"/>
    <w:rsid w:val="00E97BD1"/>
    <w:rsid w:val="00F666AB"/>
    <w:rsid w:val="00FA1D1A"/>
    <w:rsid w:val="00FB052E"/>
    <w:rsid w:val="00FD3E8F"/>
    <w:rsid w:val="00FE315E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5E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5E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E399-BAF5-4B13-94C6-91A32F96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Änderungsantrag</vt:lpstr>
    </vt:vector>
  </TitlesOfParts>
  <Company>Landtag NRW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Änderungsantrag</dc:title>
  <dc:creator>Glende, Andrea</dc:creator>
  <cp:lastModifiedBy>Janssen, Max (SPD)</cp:lastModifiedBy>
  <cp:revision>2</cp:revision>
  <cp:lastPrinted>2014-09-11T10:34:00Z</cp:lastPrinted>
  <dcterms:created xsi:type="dcterms:W3CDTF">2014-09-11T11:37:00Z</dcterms:created>
  <dcterms:modified xsi:type="dcterms:W3CDTF">2014-09-11T11:37:00Z</dcterms:modified>
</cp:coreProperties>
</file>